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120"/>
        <w:jc w:val="left"/>
      </w:pPr>
      <w:r>
        <w:rPr>
          <w:b/>
          <w:sz w:val="52"/>
        </w:rPr>
        <w:t>Scaling the Vision — SOAS–Lüliang Cultural Exchange Preparation</w:t>
      </w:r>
    </w:p>
    <w:p>
      <w:pPr>
        <w:spacing w:after="0"/>
      </w:pPr>
      <w:r>
        <w:rPr>
          <w:b/>
          <w:color w:val="0066CC"/>
          <w:sz w:val="22"/>
        </w:rPr>
        <w:t xml:space="preserve">Date: </w:t>
      </w:r>
      <w:r>
        <w:rPr>
          <w:sz w:val="22"/>
        </w:rPr>
        <w:t>January 2020</w:t>
      </w:r>
    </w:p>
    <w:p>
      <w:pPr>
        <w:spacing w:after="0"/>
      </w:pPr>
      <w:r>
        <w:rPr>
          <w:b/>
          <w:color w:val="0066CC"/>
          <w:sz w:val="22"/>
        </w:rPr>
        <w:t xml:space="preserve">Planned Route: </w:t>
      </w:r>
      <w:r>
        <w:rPr>
          <w:sz w:val="22"/>
        </w:rPr>
        <w:t>London → Beijing → Lüliang (Shanxi)</w:t>
      </w:r>
    </w:p>
    <w:p/>
    <w:p>
      <w:pPr>
        <w:spacing w:before="200" w:after="80"/>
      </w:pPr>
      <w:r>
        <w:rPr>
          <w:b/>
          <w:color w:val="0066CC"/>
          <w:sz w:val="32"/>
        </w:rPr>
        <w:t>From a Spark to a Scaled Plan</w:t>
      </w:r>
    </w:p>
    <w:p>
      <w:pPr>
        <w:spacing w:after="120"/>
      </w:pPr>
      <w:r>
        <w:rPr>
          <w:b w:val="0"/>
          <w:sz w:val="22"/>
        </w:rPr>
        <w:t>Founder Sunny Xue wanted people from one of the world’s largest cities not just to visit China, but to experience her hometown. The goal was to recreate—and scale—the conversations from the 2018 journey by bringing a diverse SOAS cohort to Lüliang for hands-on cultural exchange with local children and families.</w:t>
      </w:r>
    </w:p>
    <w:p>
      <w:pPr>
        <w:spacing w:after="120"/>
      </w:pPr>
      <w:r>
        <w:rPr>
          <w:b w:val="0"/>
          <w:sz w:val="22"/>
        </w:rPr>
        <w:t>With support from the school, the team designed a cultural-exchange program specifically for her hometown, including commitments to offset part of flights and accommodation so cost would not be a barrier. Applications were opened across campus.</w:t>
      </w:r>
    </w:p>
    <w:p>
      <w:pPr>
        <w:spacing w:before="200" w:after="80"/>
      </w:pPr>
      <w:r>
        <w:rPr>
          <w:b/>
          <w:color w:val="0066CC"/>
          <w:sz w:val="32"/>
        </w:rPr>
        <w:t>Recruitment &amp; Selection</w:t>
      </w:r>
    </w:p>
    <w:p>
      <w:pPr>
        <w:spacing w:after="120"/>
      </w:pPr>
      <w:r>
        <w:rPr>
          <w:b w:val="0"/>
          <w:sz w:val="22"/>
        </w:rPr>
        <w:t>More than 40 people replied to the outreach email. After in-person conversations, a mutual-selection process confirmed a group of nearly ten volunteer-teachers. In classic SOAS fashion, each brought strong area-studies backgrounds and spoke two to three languages—an ideal blend for sensitive, two-way exchange.</w:t>
      </w:r>
    </w:p>
    <w:p>
      <w:pPr>
        <w:spacing w:before="200" w:after="80"/>
      </w:pPr>
      <w:r>
        <w:rPr>
          <w:b/>
          <w:color w:val="0066CC"/>
          <w:sz w:val="32"/>
        </w:rPr>
        <w:t>Program Design (Planned for Summer 2020)</w:t>
      </w:r>
    </w:p>
    <w:p>
      <w:pPr>
        <w:pStyle w:val="ListBullet"/>
      </w:pPr>
      <w:r>
        <w:rPr>
          <w:sz w:val="22"/>
        </w:rPr>
        <w:t>Homestays with local families in and around Lüliang</w:t>
      </w:r>
    </w:p>
    <w:p>
      <w:pPr>
        <w:pStyle w:val="ListBullet"/>
      </w:pPr>
      <w:r>
        <w:rPr>
          <w:sz w:val="22"/>
        </w:rPr>
        <w:t>School exchanges: classroom co-teaching, language corners, games, and sports</w:t>
      </w:r>
    </w:p>
    <w:p>
      <w:pPr>
        <w:pStyle w:val="ListBullet"/>
      </w:pPr>
      <w:r>
        <w:rPr>
          <w:sz w:val="22"/>
        </w:rPr>
        <w:t>Community activities: evening square dancing (广场舞), craft sessions, and neighborhood visits</w:t>
      </w:r>
    </w:p>
    <w:p>
      <w:pPr>
        <w:pStyle w:val="ListBullet"/>
      </w:pPr>
      <w:r>
        <w:rPr>
          <w:sz w:val="22"/>
        </w:rPr>
        <w:t>Field visits: markets, small factories, and heritage sites near the county seat</w:t>
      </w:r>
    </w:p>
    <w:p>
      <w:pPr>
        <w:pStyle w:val="ListBullet"/>
      </w:pPr>
      <w:r>
        <w:rPr>
          <w:sz w:val="22"/>
        </w:rPr>
        <w:t>Dialogue-first workshops: identity, everyday culture, and how to ask good questions</w:t>
      </w:r>
    </w:p>
    <w:p>
      <w:pPr>
        <w:pStyle w:val="ListBullet"/>
      </w:pPr>
      <w:r>
        <w:rPr>
          <w:sz w:val="22"/>
        </w:rPr>
        <w:t>Town-hall sharing: a public night of stories, songs, and food from each volunteer’s home region</w:t>
      </w:r>
    </w:p>
    <w:p>
      <w:pPr>
        <w:pStyle w:val="ListBullet"/>
      </w:pPr>
      <w:r>
        <w:rPr>
          <w:sz w:val="22"/>
        </w:rPr>
        <w:t>Everything was scheduled and the process had reached the visa stage when the COVID-19 pandemic paused international travel and the program was put on hold.</w:t>
      </w:r>
    </w:p>
    <w:p>
      <w:pPr>
        <w:spacing w:before="200" w:after="80"/>
      </w:pPr>
      <w:r>
        <w:rPr>
          <w:b/>
          <w:color w:val="0066CC"/>
          <w:sz w:val="32"/>
        </w:rPr>
        <w:t>Why It Still Matters</w:t>
      </w:r>
    </w:p>
    <w:p>
      <w:pPr>
        <w:spacing w:after="120"/>
      </w:pPr>
      <w:r>
        <w:rPr>
          <w:b/>
          <w:sz w:val="22"/>
        </w:rPr>
        <w:t>Sunny felt what she had already sensed from studying overseas: travel lowers our defenses. Curiosity creates a common ground where people who might never otherwise meet can talk, listen, and genuinely connect.</w:t>
      </w:r>
    </w:p>
    <w:p>
      <w:pPr>
        <w:spacing w:before="200" w:after="80"/>
      </w:pPr>
      <w:r>
        <w:rPr>
          <w:b/>
          <w:color w:val="0066CC"/>
          <w:sz w:val="32"/>
        </w:rPr>
        <w:t>From Plan to Practice</w:t>
      </w:r>
    </w:p>
    <w:p>
      <w:pPr>
        <w:spacing w:after="120"/>
      </w:pPr>
      <w:r>
        <w:rPr>
          <w:b w:val="0"/>
          <w:sz w:val="22"/>
        </w:rPr>
        <w:t>The blueprint drawn in early 2020—prioritizing homestays, school dialogues, and everyday life—still guides the work today, staying faithful to the original intention: let people meet as neighbors, not as spectacles, and let both sides see farther from the same ground.</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